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C44" w:rsidRPr="007338A0" w:rsidRDefault="00350C44" w:rsidP="00350C44">
      <w:pPr>
        <w:spacing w:after="0" w:line="480" w:lineRule="auto"/>
        <w:ind w:firstLine="567"/>
        <w:jc w:val="center"/>
        <w:rPr>
          <w:rFonts w:ascii="Times New Roman" w:eastAsia="SimSun" w:hAnsi="Times New Roman" w:cs="DecoType Naskh"/>
          <w:b/>
          <w:bCs/>
          <w:sz w:val="28"/>
          <w:szCs w:val="28"/>
        </w:rPr>
      </w:pPr>
      <w:r w:rsidRPr="007338A0">
        <w:rPr>
          <w:rFonts w:ascii="Times New Roman" w:eastAsia="SimSun" w:hAnsi="Times New Roman" w:cs="DecoType Naskh" w:hint="cs"/>
          <w:b/>
          <w:bCs/>
          <w:sz w:val="28"/>
          <w:szCs w:val="28"/>
          <w:highlight w:val="yellow"/>
          <w:rtl/>
        </w:rPr>
        <w:t>ابن رشد</w:t>
      </w:r>
    </w:p>
    <w:p w:rsidR="00350C44" w:rsidRPr="007338A0" w:rsidRDefault="00350C44" w:rsidP="00350C44">
      <w:pPr>
        <w:spacing w:after="0" w:line="480" w:lineRule="auto"/>
        <w:ind w:firstLine="567"/>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هو أبو الوليد محمد بن أحمد بن محمد بن أحمد بن رشد القرطبي الأندلسي ، ولد سنة 520 هـ. وقد اشتهر في العلوم الفلسفية والطبية.</w:t>
      </w:r>
    </w:p>
    <w:p w:rsidR="00350C44" w:rsidRPr="007338A0" w:rsidRDefault="00350C44" w:rsidP="007338A0">
      <w:pPr>
        <w:spacing w:after="0" w:line="480" w:lineRule="auto"/>
        <w:ind w:firstLine="567"/>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 xml:space="preserve">كان فيلسوفا، طبيباً، وقاضي قضاة.. كان نحويا. لغوياً، محدثاً بارعاً يحفظ شعر المتنبي وحبيب ويتمثل </w:t>
      </w:r>
      <w:proofErr w:type="spellStart"/>
      <w:r w:rsidRPr="007338A0">
        <w:rPr>
          <w:rFonts w:ascii="Traditional Arabic" w:eastAsia="SimSun" w:hAnsi="Traditional Arabic" w:cs="Traditional Arabic"/>
          <w:b/>
          <w:bCs/>
          <w:sz w:val="28"/>
          <w:szCs w:val="28"/>
          <w:rtl/>
        </w:rPr>
        <w:t>به</w:t>
      </w:r>
      <w:proofErr w:type="spellEnd"/>
      <w:r w:rsidRPr="007338A0">
        <w:rPr>
          <w:rFonts w:ascii="Traditional Arabic" w:eastAsia="SimSun" w:hAnsi="Traditional Arabic" w:cs="Traditional Arabic"/>
          <w:b/>
          <w:bCs/>
          <w:sz w:val="28"/>
          <w:szCs w:val="28"/>
          <w:rtl/>
        </w:rPr>
        <w:t xml:space="preserve"> في مجالسه.. وكان إلى جانب هذا كله. متواضعاً، لطيفاً، دافئ اللسان، جم الأدب، قوي الحجة، راسخ </w:t>
      </w:r>
      <w:r w:rsidR="007338A0" w:rsidRPr="007338A0">
        <w:rPr>
          <w:rFonts w:ascii="Traditional Arabic" w:eastAsia="SimSun" w:hAnsi="Traditional Arabic" w:cs="Traditional Arabic"/>
          <w:b/>
          <w:bCs/>
          <w:sz w:val="28"/>
          <w:szCs w:val="28"/>
          <w:rtl/>
        </w:rPr>
        <w:t>العقيدة</w:t>
      </w:r>
      <w:r w:rsidR="007338A0" w:rsidRPr="007338A0">
        <w:rPr>
          <w:rFonts w:ascii="Traditional Arabic" w:eastAsia="SimSun" w:hAnsi="Traditional Arabic" w:cs="Traditional Arabic" w:hint="cs"/>
          <w:b/>
          <w:bCs/>
          <w:sz w:val="28"/>
          <w:szCs w:val="28"/>
          <w:rtl/>
        </w:rPr>
        <w:t>.</w:t>
      </w:r>
    </w:p>
    <w:p w:rsidR="00350C44" w:rsidRPr="007338A0" w:rsidRDefault="00350C44" w:rsidP="007338A0">
      <w:pPr>
        <w:spacing w:after="0" w:line="480" w:lineRule="auto"/>
        <w:ind w:firstLine="567"/>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لم يجلس "ابن رشد" على عرش العقل العربي بسهولة ويسر، فلقد أمضى عمره في البحث وتحبير الصفحات، حتى شهد له معاصروه بأنه لم يدع القراءة والنظر في حياته إلا ليلتين اثن</w:t>
      </w:r>
      <w:r w:rsidR="007338A0" w:rsidRPr="007338A0">
        <w:rPr>
          <w:rFonts w:ascii="Traditional Arabic" w:eastAsia="SimSun" w:hAnsi="Traditional Arabic" w:cs="Traditional Arabic"/>
          <w:b/>
          <w:bCs/>
          <w:sz w:val="28"/>
          <w:szCs w:val="28"/>
          <w:rtl/>
        </w:rPr>
        <w:t>تين: ليلة وفاة أبيه وليلة زوا</w:t>
      </w:r>
      <w:r w:rsidR="007338A0" w:rsidRPr="007338A0">
        <w:rPr>
          <w:rFonts w:ascii="Traditional Arabic" w:eastAsia="SimSun" w:hAnsi="Traditional Arabic" w:cs="Traditional Arabic" w:hint="cs"/>
          <w:b/>
          <w:bCs/>
          <w:sz w:val="28"/>
          <w:szCs w:val="28"/>
          <w:rtl/>
        </w:rPr>
        <w:t>جه .</w:t>
      </w:r>
    </w:p>
    <w:p w:rsidR="00350C44" w:rsidRPr="007338A0" w:rsidRDefault="007338A0" w:rsidP="007338A0">
      <w:p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 xml:space="preserve">توفي ابن رشد  في </w:t>
      </w:r>
      <w:r w:rsidRPr="007338A0">
        <w:rPr>
          <w:rFonts w:ascii="Traditional Arabic" w:eastAsia="SimSun" w:hAnsi="Traditional Arabic" w:cs="Traditional Arabic" w:hint="cs"/>
          <w:b/>
          <w:bCs/>
          <w:sz w:val="28"/>
          <w:szCs w:val="28"/>
          <w:rtl/>
        </w:rPr>
        <w:t xml:space="preserve">عام </w:t>
      </w:r>
      <w:r w:rsidR="00350C44" w:rsidRPr="007338A0">
        <w:rPr>
          <w:rFonts w:ascii="Traditional Arabic" w:eastAsia="SimSun" w:hAnsi="Traditional Arabic" w:cs="Traditional Arabic"/>
          <w:b/>
          <w:bCs/>
          <w:sz w:val="28"/>
          <w:szCs w:val="28"/>
          <w:rtl/>
        </w:rPr>
        <w:t>(1198 للميلاد)، في مراكش.</w:t>
      </w:r>
    </w:p>
    <w:p w:rsidR="00350C44" w:rsidRPr="007338A0" w:rsidRDefault="00350C44" w:rsidP="00350C44">
      <w:pPr>
        <w:spacing w:after="0" w:line="480" w:lineRule="auto"/>
        <w:ind w:firstLine="567"/>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تقع مؤلفات ابن رشد في أربعة أقسام: شروح ومصنفات فلسفية وعملية، شروح ومصنفات طبية، كتب فقهية وكلامية، وكتب أدبية ولغوية.</w:t>
      </w:r>
    </w:p>
    <w:p w:rsidR="00350C44" w:rsidRPr="007338A0" w:rsidRDefault="00350C44" w:rsidP="00350C44">
      <w:pPr>
        <w:spacing w:after="0" w:line="480" w:lineRule="auto"/>
        <w:ind w:firstLine="567"/>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أحصى جمال الدين العلوي 108 مؤلف لابن رشد، وصلنا منها 58 مؤلفاً بنصه العربي. وابن رشد كان قد كتب المقالات، وألف الكتب، وشرح النصوص الكثيرة ولكنه اختص بشرح كل التراث "الأرسطي". وشروحه على أرسطو تنقسم إلى ثلاثة أقسام:</w:t>
      </w:r>
    </w:p>
    <w:p w:rsidR="00350C44" w:rsidRPr="007338A0" w:rsidRDefault="00350C44" w:rsidP="00350C44">
      <w:pPr>
        <w:spacing w:after="0" w:line="480" w:lineRule="auto"/>
        <w:ind w:firstLine="567"/>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مختصرات وجوامع: وهي عبارة عما فهمه ابن رشد من "أرسطو" دون أن يتعلق الشرح بالنص مباشرة.</w:t>
      </w:r>
    </w:p>
    <w:p w:rsidR="00350C44" w:rsidRPr="007338A0" w:rsidRDefault="00350C44" w:rsidP="00350C44">
      <w:pPr>
        <w:spacing w:after="0" w:line="480" w:lineRule="auto"/>
        <w:ind w:firstLine="567"/>
        <w:jc w:val="lowKashida"/>
        <w:rPr>
          <w:rFonts w:ascii="Traditional Arabic" w:eastAsia="SimSun" w:hAnsi="Traditional Arabic" w:cs="Traditional Arabic"/>
          <w:b/>
          <w:bCs/>
          <w:sz w:val="28"/>
          <w:szCs w:val="28"/>
          <w:rtl/>
        </w:rPr>
      </w:pPr>
      <w:proofErr w:type="spellStart"/>
      <w:r w:rsidRPr="007338A0">
        <w:rPr>
          <w:rFonts w:ascii="Traditional Arabic" w:eastAsia="SimSun" w:hAnsi="Traditional Arabic" w:cs="Traditional Arabic"/>
          <w:b/>
          <w:bCs/>
          <w:sz w:val="28"/>
          <w:szCs w:val="28"/>
          <w:rtl/>
        </w:rPr>
        <w:lastRenderedPageBreak/>
        <w:t>تلاخيص</w:t>
      </w:r>
      <w:proofErr w:type="spellEnd"/>
      <w:r w:rsidRPr="007338A0">
        <w:rPr>
          <w:rFonts w:ascii="Traditional Arabic" w:eastAsia="SimSun" w:hAnsi="Traditional Arabic" w:cs="Traditional Arabic"/>
          <w:b/>
          <w:bCs/>
          <w:sz w:val="28"/>
          <w:szCs w:val="28"/>
          <w:rtl/>
        </w:rPr>
        <w:t>: وتسمى أيضاً شروح صغرى: وهي عبارة عن مواكبة أرسطو دون إيراد متونه.</w:t>
      </w:r>
    </w:p>
    <w:p w:rsidR="00350C44" w:rsidRPr="007338A0" w:rsidRDefault="00350C44" w:rsidP="00350C44">
      <w:pPr>
        <w:spacing w:after="0" w:line="480" w:lineRule="auto"/>
        <w:ind w:firstLine="567"/>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شروح كبرى: وفيها يورد ابن رشد قول الحكيم، ثم يأتي بالشرح المسهب - وهاهي بعض الكتب المؤلفات المهمة بتواريخ كتابتها التقريبية:</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الكليات 1162م : كتاب في أصول الطب</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بداية المجتهد ونهاية المقتصد 1168م: كتاب في أصول الفقه</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تلخيص القياس 1166م: شرح صغير</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تلخيص الجدل 1168م: شرح صغير</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جوامع الحس والمحسوس 1170م</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تلخيص الجمهورية 1177م: وهو تلخيص "لجمهورية أفلاطون". أصله العربي مفقود ولكنه ترجم في 1999</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مقالة في العلم الإلهي 1178م</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فصل المقال وتقرير ما بين الشريعة والحكمة من الاتصال 1178م: وهو تأصيل لشرعية الفلسفة. من أشهر كتبه</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الكشف عن مناهج الأدلة في عقائد الملة 1179م: يحاول تصحيح العقيدة الإسلامية</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شرح أرجوزة ابن سينا في الطب 1180م</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lastRenderedPageBreak/>
        <w:t>تهافت التهافت 1181م: نقض كتاب الإمام الغزالي المسمى "تهافت الفلاسفة". من أشهر كتبه</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شرح البرهان 1183م: شرح كبير على أرسطو</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شرح السماء والعالم 1188م: شرح كبير على أرسطو</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شرح كتاب النفس 1190م: شرح كبير على أرسطو</w:t>
      </w:r>
    </w:p>
    <w:p w:rsidR="00350C44" w:rsidRPr="007338A0" w:rsidRDefault="00350C44" w:rsidP="00350C44">
      <w:pPr>
        <w:numPr>
          <w:ilvl w:val="0"/>
          <w:numId w:val="1"/>
        </w:numPr>
        <w:spacing w:after="0" w:line="480" w:lineRule="auto"/>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شرح ما بعد الطبيعة 1192م - 1194م: لعله أغنى شروحه، وأكثر إنتاجه إبداعاً. من أشهر كتبه</w:t>
      </w:r>
    </w:p>
    <w:p w:rsidR="00350C44" w:rsidRPr="007338A0" w:rsidRDefault="00350C44" w:rsidP="00350C44">
      <w:pPr>
        <w:spacing w:after="0" w:line="480" w:lineRule="auto"/>
        <w:ind w:firstLine="567"/>
        <w:jc w:val="lowKashida"/>
        <w:rPr>
          <w:rFonts w:ascii="Traditional Arabic" w:eastAsia="SimSun" w:hAnsi="Traditional Arabic" w:cs="Traditional Arabic"/>
          <w:b/>
          <w:bCs/>
          <w:sz w:val="28"/>
          <w:szCs w:val="28"/>
          <w:rtl/>
        </w:rPr>
      </w:pPr>
    </w:p>
    <w:p w:rsidR="00350C44" w:rsidRPr="007338A0" w:rsidRDefault="00350C44" w:rsidP="00350C44">
      <w:pPr>
        <w:spacing w:after="0" w:line="480" w:lineRule="auto"/>
        <w:ind w:firstLine="567"/>
        <w:jc w:val="lowKashida"/>
        <w:rPr>
          <w:rFonts w:ascii="Traditional Arabic" w:eastAsia="SimSun" w:hAnsi="Traditional Arabic" w:cs="Traditional Arabic"/>
          <w:b/>
          <w:bCs/>
          <w:sz w:val="28"/>
          <w:szCs w:val="28"/>
          <w:rtl/>
        </w:rPr>
      </w:pPr>
      <w:r w:rsidRPr="007338A0">
        <w:rPr>
          <w:rFonts w:ascii="Traditional Arabic" w:eastAsia="SimSun" w:hAnsi="Traditional Arabic" w:cs="Traditional Arabic"/>
          <w:b/>
          <w:bCs/>
          <w:sz w:val="28"/>
          <w:szCs w:val="28"/>
          <w:rtl/>
        </w:rPr>
        <w:t xml:space="preserve">مؤلفات إضافية: تلخيص كتاب المزاج </w:t>
      </w:r>
      <w:proofErr w:type="spellStart"/>
      <w:r w:rsidRPr="007338A0">
        <w:rPr>
          <w:rFonts w:ascii="Traditional Arabic" w:eastAsia="SimSun" w:hAnsi="Traditional Arabic" w:cs="Traditional Arabic"/>
          <w:b/>
          <w:bCs/>
          <w:sz w:val="28"/>
          <w:szCs w:val="28"/>
          <w:rtl/>
        </w:rPr>
        <w:t>لجالينوس</w:t>
      </w:r>
      <w:proofErr w:type="spellEnd"/>
      <w:r w:rsidRPr="007338A0">
        <w:rPr>
          <w:rFonts w:ascii="Traditional Arabic" w:eastAsia="SimSun" w:hAnsi="Traditional Arabic" w:cs="Traditional Arabic"/>
          <w:b/>
          <w:bCs/>
          <w:sz w:val="28"/>
          <w:szCs w:val="28"/>
          <w:rtl/>
        </w:rPr>
        <w:t xml:space="preserve">، كتاب </w:t>
      </w:r>
      <w:proofErr w:type="spellStart"/>
      <w:r w:rsidRPr="007338A0">
        <w:rPr>
          <w:rFonts w:ascii="Traditional Arabic" w:eastAsia="SimSun" w:hAnsi="Traditional Arabic" w:cs="Traditional Arabic"/>
          <w:b/>
          <w:bCs/>
          <w:sz w:val="28"/>
          <w:szCs w:val="28"/>
          <w:rtl/>
        </w:rPr>
        <w:t>التعرّق</w:t>
      </w:r>
      <w:proofErr w:type="spellEnd"/>
      <w:r w:rsidRPr="007338A0">
        <w:rPr>
          <w:rFonts w:ascii="Traditional Arabic" w:eastAsia="SimSun" w:hAnsi="Traditional Arabic" w:cs="Traditional Arabic"/>
          <w:b/>
          <w:bCs/>
          <w:sz w:val="28"/>
          <w:szCs w:val="28"/>
          <w:rtl/>
        </w:rPr>
        <w:t xml:space="preserve"> </w:t>
      </w:r>
      <w:proofErr w:type="spellStart"/>
      <w:r w:rsidRPr="007338A0">
        <w:rPr>
          <w:rFonts w:ascii="Traditional Arabic" w:eastAsia="SimSun" w:hAnsi="Traditional Arabic" w:cs="Traditional Arabic"/>
          <w:b/>
          <w:bCs/>
          <w:sz w:val="28"/>
          <w:szCs w:val="28"/>
          <w:rtl/>
        </w:rPr>
        <w:t>لجالينوس</w:t>
      </w:r>
      <w:proofErr w:type="spellEnd"/>
      <w:r w:rsidRPr="007338A0">
        <w:rPr>
          <w:rFonts w:ascii="Traditional Arabic" w:eastAsia="SimSun" w:hAnsi="Traditional Arabic" w:cs="Traditional Arabic"/>
          <w:b/>
          <w:bCs/>
          <w:sz w:val="28"/>
          <w:szCs w:val="28"/>
          <w:rtl/>
        </w:rPr>
        <w:t xml:space="preserve">، كتاب القوى الطبيعية </w:t>
      </w:r>
      <w:proofErr w:type="spellStart"/>
      <w:r w:rsidRPr="007338A0">
        <w:rPr>
          <w:rFonts w:ascii="Traditional Arabic" w:eastAsia="SimSun" w:hAnsi="Traditional Arabic" w:cs="Traditional Arabic"/>
          <w:b/>
          <w:bCs/>
          <w:sz w:val="28"/>
          <w:szCs w:val="28"/>
          <w:rtl/>
        </w:rPr>
        <w:t>لجالينوس</w:t>
      </w:r>
      <w:proofErr w:type="spellEnd"/>
      <w:r w:rsidRPr="007338A0">
        <w:rPr>
          <w:rFonts w:ascii="Traditional Arabic" w:eastAsia="SimSun" w:hAnsi="Traditional Arabic" w:cs="Traditional Arabic"/>
          <w:b/>
          <w:bCs/>
          <w:sz w:val="28"/>
          <w:szCs w:val="28"/>
          <w:rtl/>
        </w:rPr>
        <w:t xml:space="preserve">، كتاب العلل والأعراض </w:t>
      </w:r>
      <w:proofErr w:type="spellStart"/>
      <w:r w:rsidRPr="007338A0">
        <w:rPr>
          <w:rFonts w:ascii="Traditional Arabic" w:eastAsia="SimSun" w:hAnsi="Traditional Arabic" w:cs="Traditional Arabic"/>
          <w:b/>
          <w:bCs/>
          <w:sz w:val="28"/>
          <w:szCs w:val="28"/>
          <w:rtl/>
        </w:rPr>
        <w:t>لجالينوس</w:t>
      </w:r>
      <w:proofErr w:type="spellEnd"/>
      <w:r w:rsidRPr="007338A0">
        <w:rPr>
          <w:rFonts w:ascii="Traditional Arabic" w:eastAsia="SimSun" w:hAnsi="Traditional Arabic" w:cs="Traditional Arabic"/>
          <w:b/>
          <w:bCs/>
          <w:sz w:val="28"/>
          <w:szCs w:val="28"/>
          <w:rtl/>
        </w:rPr>
        <w:t xml:space="preserve">، كتاب الحمّيات </w:t>
      </w:r>
      <w:proofErr w:type="spellStart"/>
      <w:r w:rsidRPr="007338A0">
        <w:rPr>
          <w:rFonts w:ascii="Traditional Arabic" w:eastAsia="SimSun" w:hAnsi="Traditional Arabic" w:cs="Traditional Arabic"/>
          <w:b/>
          <w:bCs/>
          <w:sz w:val="28"/>
          <w:szCs w:val="28"/>
          <w:rtl/>
        </w:rPr>
        <w:t>لجالينوس</w:t>
      </w:r>
      <w:proofErr w:type="spellEnd"/>
      <w:r w:rsidRPr="007338A0">
        <w:rPr>
          <w:rFonts w:ascii="Traditional Arabic" w:eastAsia="SimSun" w:hAnsi="Traditional Arabic" w:cs="Traditional Arabic"/>
          <w:b/>
          <w:bCs/>
          <w:sz w:val="28"/>
          <w:szCs w:val="28"/>
          <w:rtl/>
        </w:rPr>
        <w:t xml:space="preserve">، كتاب </w:t>
      </w:r>
      <w:proofErr w:type="spellStart"/>
      <w:r w:rsidRPr="007338A0">
        <w:rPr>
          <w:rFonts w:ascii="Traditional Arabic" w:eastAsia="SimSun" w:hAnsi="Traditional Arabic" w:cs="Traditional Arabic"/>
          <w:b/>
          <w:bCs/>
          <w:sz w:val="28"/>
          <w:szCs w:val="28"/>
          <w:rtl/>
        </w:rPr>
        <w:t>الاسطقسات</w:t>
      </w:r>
      <w:proofErr w:type="spellEnd"/>
      <w:r w:rsidRPr="007338A0">
        <w:rPr>
          <w:rFonts w:ascii="Traditional Arabic" w:eastAsia="SimSun" w:hAnsi="Traditional Arabic" w:cs="Traditional Arabic"/>
          <w:b/>
          <w:bCs/>
          <w:sz w:val="28"/>
          <w:szCs w:val="28"/>
          <w:rtl/>
        </w:rPr>
        <w:t xml:space="preserve"> </w:t>
      </w:r>
      <w:proofErr w:type="spellStart"/>
      <w:r w:rsidRPr="007338A0">
        <w:rPr>
          <w:rFonts w:ascii="Traditional Arabic" w:eastAsia="SimSun" w:hAnsi="Traditional Arabic" w:cs="Traditional Arabic"/>
          <w:b/>
          <w:bCs/>
          <w:sz w:val="28"/>
          <w:szCs w:val="28"/>
          <w:rtl/>
        </w:rPr>
        <w:t>لجالينوس</w:t>
      </w:r>
      <w:proofErr w:type="spellEnd"/>
      <w:r w:rsidRPr="007338A0">
        <w:rPr>
          <w:rFonts w:ascii="Traditional Arabic" w:eastAsia="SimSun" w:hAnsi="Traditional Arabic" w:cs="Traditional Arabic"/>
          <w:b/>
          <w:bCs/>
          <w:sz w:val="28"/>
          <w:szCs w:val="28"/>
          <w:rtl/>
        </w:rPr>
        <w:t xml:space="preserve">، تلخيص أول كتاب الأدوية المفردة </w:t>
      </w:r>
      <w:proofErr w:type="spellStart"/>
      <w:r w:rsidRPr="007338A0">
        <w:rPr>
          <w:rFonts w:ascii="Traditional Arabic" w:eastAsia="SimSun" w:hAnsi="Traditional Arabic" w:cs="Traditional Arabic"/>
          <w:b/>
          <w:bCs/>
          <w:sz w:val="28"/>
          <w:szCs w:val="28"/>
          <w:rtl/>
        </w:rPr>
        <w:t>لجالينوس</w:t>
      </w:r>
      <w:proofErr w:type="spellEnd"/>
      <w:r w:rsidRPr="007338A0">
        <w:rPr>
          <w:rFonts w:ascii="Traditional Arabic" w:eastAsia="SimSun" w:hAnsi="Traditional Arabic" w:cs="Traditional Arabic"/>
          <w:b/>
          <w:bCs/>
          <w:sz w:val="28"/>
          <w:szCs w:val="28"/>
          <w:rtl/>
        </w:rPr>
        <w:t xml:space="preserve">، تلخيص النصف الثاني من كتاب حيلة البرء </w:t>
      </w:r>
      <w:proofErr w:type="spellStart"/>
      <w:r w:rsidRPr="007338A0">
        <w:rPr>
          <w:rFonts w:ascii="Traditional Arabic" w:eastAsia="SimSun" w:hAnsi="Traditional Arabic" w:cs="Traditional Arabic"/>
          <w:b/>
          <w:bCs/>
          <w:sz w:val="28"/>
          <w:szCs w:val="28"/>
          <w:rtl/>
        </w:rPr>
        <w:t>لجالينوس</w:t>
      </w:r>
      <w:proofErr w:type="spellEnd"/>
      <w:r w:rsidRPr="007338A0">
        <w:rPr>
          <w:rFonts w:ascii="Traditional Arabic" w:eastAsia="SimSun" w:hAnsi="Traditional Arabic" w:cs="Traditional Arabic"/>
          <w:b/>
          <w:bCs/>
          <w:sz w:val="28"/>
          <w:szCs w:val="28"/>
          <w:rtl/>
        </w:rPr>
        <w:t>، مقالة في المزاج، مقالة في نوائب الحمّى، مقالة في الترياق..</w:t>
      </w:r>
    </w:p>
    <w:p w:rsidR="00D615F7" w:rsidRPr="007338A0" w:rsidRDefault="00D615F7">
      <w:pPr>
        <w:rPr>
          <w:b/>
          <w:bCs/>
          <w:sz w:val="28"/>
          <w:szCs w:val="28"/>
        </w:rPr>
      </w:pPr>
    </w:p>
    <w:sectPr w:rsidR="00D615F7" w:rsidRPr="007338A0" w:rsidSect="007338A0">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coType Naskh">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C5C6D"/>
    <w:multiLevelType w:val="hybridMultilevel"/>
    <w:tmpl w:val="10088186"/>
    <w:lvl w:ilvl="0" w:tplc="04090001">
      <w:start w:val="1"/>
      <w:numFmt w:val="bullet"/>
      <w:lvlText w:val=""/>
      <w:lvlJc w:val="left"/>
      <w:pPr>
        <w:tabs>
          <w:tab w:val="num" w:pos="2007"/>
        </w:tabs>
        <w:ind w:left="200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50C44"/>
    <w:rsid w:val="002C4457"/>
    <w:rsid w:val="00350C44"/>
    <w:rsid w:val="007338A0"/>
    <w:rsid w:val="007B72E3"/>
    <w:rsid w:val="00D615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F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50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dc:creator>
  <cp:lastModifiedBy>ABS</cp:lastModifiedBy>
  <cp:revision>3</cp:revision>
  <dcterms:created xsi:type="dcterms:W3CDTF">2013-04-05T15:53:00Z</dcterms:created>
  <dcterms:modified xsi:type="dcterms:W3CDTF">2013-04-07T06:03:00Z</dcterms:modified>
</cp:coreProperties>
</file>